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EB" w:rsidRPr="003147EB" w:rsidRDefault="003147EB">
      <w:pPr>
        <w:rPr>
          <w:b/>
        </w:rPr>
      </w:pPr>
      <w:r w:rsidRPr="003147EB">
        <w:rPr>
          <w:b/>
        </w:rPr>
        <w:t xml:space="preserve">Globalização é economia? É </w:t>
      </w:r>
      <w:proofErr w:type="spellStart"/>
      <w:r w:rsidRPr="003147EB">
        <w:rPr>
          <w:b/>
        </w:rPr>
        <w:t>governança</w:t>
      </w:r>
      <w:proofErr w:type="spellEnd"/>
      <w:r w:rsidRPr="003147EB">
        <w:rPr>
          <w:b/>
        </w:rPr>
        <w:t xml:space="preserve">? É poder? Ou é sociedade, humanidade, direitos humanos? </w:t>
      </w:r>
    </w:p>
    <w:p w:rsidR="003147EB" w:rsidRDefault="003E59A7" w:rsidP="003147E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PT"/>
        </w:rPr>
      </w:pPr>
      <w:r>
        <w:rPr>
          <w:rFonts w:ascii="Arial" w:eastAsia="Times New Roman" w:hAnsi="Arial" w:cs="Arial"/>
          <w:sz w:val="23"/>
          <w:szCs w:val="23"/>
          <w:lang w:eastAsia="pt-PT"/>
        </w:rPr>
        <w:t xml:space="preserve">Semana 3 do </w:t>
      </w:r>
      <w:proofErr w:type="spellStart"/>
      <w:r w:rsidRPr="003E59A7">
        <w:rPr>
          <w:rFonts w:ascii="Arial" w:eastAsia="Times New Roman" w:hAnsi="Arial" w:cs="Arial"/>
          <w:i/>
          <w:sz w:val="23"/>
          <w:szCs w:val="23"/>
          <w:lang w:eastAsia="pt-PT"/>
        </w:rPr>
        <w:t>syl</w:t>
      </w:r>
      <w:r>
        <w:rPr>
          <w:rFonts w:ascii="Arial" w:eastAsia="Times New Roman" w:hAnsi="Arial" w:cs="Arial"/>
          <w:i/>
          <w:sz w:val="23"/>
          <w:szCs w:val="23"/>
          <w:lang w:eastAsia="pt-PT"/>
        </w:rPr>
        <w:t>l</w:t>
      </w:r>
      <w:r w:rsidRPr="003E59A7">
        <w:rPr>
          <w:rFonts w:ascii="Arial" w:eastAsia="Times New Roman" w:hAnsi="Arial" w:cs="Arial"/>
          <w:i/>
          <w:sz w:val="23"/>
          <w:szCs w:val="23"/>
          <w:lang w:eastAsia="pt-PT"/>
        </w:rPr>
        <w:t>abus</w:t>
      </w:r>
      <w:proofErr w:type="spellEnd"/>
      <w:r>
        <w:rPr>
          <w:rFonts w:ascii="Arial" w:eastAsia="Times New Roman" w:hAnsi="Arial" w:cs="Arial"/>
          <w:sz w:val="23"/>
          <w:szCs w:val="23"/>
          <w:lang w:eastAsia="pt-PT"/>
        </w:rPr>
        <w:t>:</w:t>
      </w:r>
    </w:p>
    <w:p w:rsidR="003E59A7" w:rsidRDefault="003E59A7" w:rsidP="003147E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PT"/>
        </w:rPr>
      </w:pPr>
    </w:p>
    <w:p w:rsidR="003147EB" w:rsidRPr="003147EB" w:rsidRDefault="003147EB" w:rsidP="003147E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PT"/>
        </w:rPr>
      </w:pPr>
      <w:r w:rsidRPr="003147EB">
        <w:rPr>
          <w:rFonts w:ascii="Arial" w:eastAsia="Times New Roman" w:hAnsi="Arial" w:cs="Arial"/>
          <w:sz w:val="23"/>
          <w:szCs w:val="23"/>
          <w:lang w:eastAsia="pt-PT"/>
        </w:rPr>
        <w:t xml:space="preserve">T.N. </w:t>
      </w:r>
      <w:proofErr w:type="spellStart"/>
      <w:r w:rsidRPr="003147EB">
        <w:rPr>
          <w:rFonts w:ascii="Arial" w:eastAsia="Times New Roman" w:hAnsi="Arial" w:cs="Arial"/>
          <w:sz w:val="23"/>
          <w:szCs w:val="23"/>
          <w:lang w:eastAsia="pt-PT"/>
        </w:rPr>
        <w:t>Srinivasa</w:t>
      </w:r>
      <w:proofErr w:type="spellEnd"/>
    </w:p>
    <w:p w:rsidR="003147EB" w:rsidRPr="003147EB" w:rsidRDefault="003147EB" w:rsidP="003147E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PT"/>
        </w:rPr>
      </w:pPr>
      <w:proofErr w:type="gramStart"/>
      <w:r w:rsidRPr="003147EB">
        <w:rPr>
          <w:rFonts w:ascii="Arial" w:eastAsia="Times New Roman" w:hAnsi="Arial" w:cs="Arial"/>
          <w:sz w:val="23"/>
          <w:szCs w:val="23"/>
          <w:lang w:eastAsia="pt-PT"/>
        </w:rPr>
        <w:t>http:</w:t>
      </w:r>
      <w:proofErr w:type="gramEnd"/>
      <w:r w:rsidRPr="003147EB">
        <w:rPr>
          <w:rFonts w:ascii="Arial" w:eastAsia="Times New Roman" w:hAnsi="Arial" w:cs="Arial"/>
          <w:sz w:val="23"/>
          <w:szCs w:val="23"/>
          <w:lang w:eastAsia="pt-PT"/>
        </w:rPr>
        <w:t>//www-siepr.stanford.edu/Papers/briefs/policyb</w:t>
      </w:r>
    </w:p>
    <w:p w:rsidR="003147EB" w:rsidRPr="003147EB" w:rsidRDefault="003147EB" w:rsidP="003147EB">
      <w:p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t-PT"/>
        </w:rPr>
      </w:pPr>
      <w:r w:rsidRPr="003147EB">
        <w:rPr>
          <w:rFonts w:ascii="Arial" w:eastAsia="Times New Roman" w:hAnsi="Arial" w:cs="Arial"/>
          <w:sz w:val="23"/>
          <w:szCs w:val="23"/>
          <w:lang w:val="en-US" w:eastAsia="pt-PT"/>
        </w:rPr>
        <w:t>rief_dec02.pdf</w:t>
      </w:r>
    </w:p>
    <w:p w:rsidR="003147EB" w:rsidRPr="003147EB" w:rsidRDefault="003147EB">
      <w:pPr>
        <w:rPr>
          <w:lang w:val="en-US"/>
        </w:rPr>
      </w:pPr>
    </w:p>
    <w:p w:rsidR="003147EB" w:rsidRPr="003147EB" w:rsidRDefault="003147EB" w:rsidP="003147EB">
      <w:p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t-PT"/>
        </w:rPr>
      </w:pPr>
      <w:proofErr w:type="spellStart"/>
      <w:r w:rsidRPr="003147EB">
        <w:rPr>
          <w:rFonts w:ascii="Arial" w:eastAsia="Times New Roman" w:hAnsi="Arial" w:cs="Arial"/>
          <w:sz w:val="23"/>
          <w:szCs w:val="23"/>
          <w:lang w:val="en-US" w:eastAsia="pt-PT"/>
        </w:rPr>
        <w:t>Chanda</w:t>
      </w:r>
      <w:proofErr w:type="spellEnd"/>
      <w:r w:rsidRPr="003147EB">
        <w:rPr>
          <w:rFonts w:ascii="Arial" w:eastAsia="Times New Roman" w:hAnsi="Arial" w:cs="Arial"/>
          <w:sz w:val="23"/>
          <w:szCs w:val="23"/>
          <w:lang w:val="en-US" w:eastAsia="pt-PT"/>
        </w:rPr>
        <w:t xml:space="preserve">, “Runaway Globalization </w:t>
      </w:r>
      <w:proofErr w:type="gramStart"/>
      <w:r w:rsidRPr="003147EB">
        <w:rPr>
          <w:rFonts w:ascii="Arial" w:eastAsia="Times New Roman" w:hAnsi="Arial" w:cs="Arial"/>
          <w:sz w:val="23"/>
          <w:szCs w:val="23"/>
          <w:lang w:val="en-US" w:eastAsia="pt-PT"/>
        </w:rPr>
        <w:t>Without</w:t>
      </w:r>
      <w:proofErr w:type="gramEnd"/>
      <w:r w:rsidRPr="003147EB">
        <w:rPr>
          <w:rFonts w:ascii="Arial" w:eastAsia="Times New Roman" w:hAnsi="Arial" w:cs="Arial"/>
          <w:sz w:val="23"/>
          <w:szCs w:val="23"/>
          <w:lang w:val="en-US" w:eastAsia="pt-PT"/>
        </w:rPr>
        <w:t xml:space="preserve"> Governance” </w:t>
      </w:r>
    </w:p>
    <w:p w:rsidR="003147EB" w:rsidRPr="003E59A7" w:rsidRDefault="003147EB" w:rsidP="003147EB">
      <w:p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t-PT"/>
        </w:rPr>
      </w:pPr>
      <w:r w:rsidRPr="003E59A7">
        <w:rPr>
          <w:rFonts w:ascii="Arial" w:eastAsia="Times New Roman" w:hAnsi="Arial" w:cs="Arial"/>
          <w:sz w:val="23"/>
          <w:szCs w:val="23"/>
          <w:lang w:val="en-US" w:eastAsia="pt-PT"/>
        </w:rPr>
        <w:t>http://www.globalpolicy.org/images/pdfs/runawayGlob</w:t>
      </w:r>
    </w:p>
    <w:p w:rsidR="003147EB" w:rsidRPr="003147EB" w:rsidRDefault="003147EB" w:rsidP="003147E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PT"/>
        </w:rPr>
      </w:pPr>
      <w:proofErr w:type="spellStart"/>
      <w:proofErr w:type="gramStart"/>
      <w:r w:rsidRPr="003147EB">
        <w:rPr>
          <w:rFonts w:ascii="Arial" w:eastAsia="Times New Roman" w:hAnsi="Arial" w:cs="Arial"/>
          <w:sz w:val="23"/>
          <w:szCs w:val="23"/>
          <w:lang w:eastAsia="pt-PT"/>
        </w:rPr>
        <w:t>alization.p</w:t>
      </w:r>
      <w:r>
        <w:rPr>
          <w:rFonts w:ascii="Arial" w:eastAsia="Times New Roman" w:hAnsi="Arial" w:cs="Arial"/>
          <w:sz w:val="23"/>
          <w:szCs w:val="23"/>
          <w:lang w:eastAsia="pt-PT"/>
        </w:rPr>
        <w:t>df</w:t>
      </w:r>
      <w:proofErr w:type="spellEnd"/>
      <w:proofErr w:type="gramEnd"/>
    </w:p>
    <w:p w:rsidR="003147EB" w:rsidRDefault="003147EB"/>
    <w:p w:rsidR="003147EB" w:rsidRDefault="003147EB"/>
    <w:p w:rsidR="007B5AD6" w:rsidRDefault="003F084A">
      <w:r>
        <w:t>Globalização = natureza? Só depois de ocorrer sem intenções (limitações) pode ser moralmente avaliada? Boa ou má? E isso não altera a sua natureza nem o seu percurso?</w:t>
      </w:r>
    </w:p>
    <w:p w:rsidR="003F084A" w:rsidRDefault="003F084A" w:rsidP="003F084A">
      <w:pPr>
        <w:pStyle w:val="PargrafodaLista"/>
        <w:numPr>
          <w:ilvl w:val="0"/>
          <w:numId w:val="1"/>
        </w:numPr>
      </w:pPr>
      <w:r>
        <w:t>Alheamento teoricamente produzido da natureza humana, isto é, da natureza social da desigualdade humana</w:t>
      </w:r>
    </w:p>
    <w:p w:rsidR="003F084A" w:rsidRDefault="003F084A" w:rsidP="003F084A">
      <w:pPr>
        <w:pStyle w:val="PargrafodaLista"/>
        <w:numPr>
          <w:ilvl w:val="0"/>
          <w:numId w:val="2"/>
        </w:numPr>
      </w:pPr>
      <w:r>
        <w:t>A espécie humana é – do ponto de vista estritamente genético – a mais semelhante e distinta: não inclui raças;</w:t>
      </w:r>
    </w:p>
    <w:p w:rsidR="003F084A" w:rsidRDefault="003F084A" w:rsidP="003F084A">
      <w:pPr>
        <w:pStyle w:val="PargrafodaLista"/>
        <w:numPr>
          <w:ilvl w:val="0"/>
          <w:numId w:val="2"/>
        </w:numPr>
      </w:pPr>
      <w:r>
        <w:t>Se fosse possível existir a espécie fora das sociedades humanas não haveria identidades – pois todos seriam filhos de todos, conforme mostra a matemática;</w:t>
      </w:r>
    </w:p>
    <w:p w:rsidR="003F084A" w:rsidRDefault="003F084A" w:rsidP="003F084A">
      <w:pPr>
        <w:pStyle w:val="PargrafodaLista"/>
        <w:numPr>
          <w:ilvl w:val="0"/>
          <w:numId w:val="2"/>
        </w:numPr>
      </w:pPr>
      <w:r>
        <w:t>A sociedade, nomeadamente a construção de identidades (atribuição de nomes e respectivas conotações e solidariedades associadas), é indispensável à sobrevivência dos humanos, dadas as suas características altamente frágeis, em particular no que toca ao desenvolvimento de crianças;</w:t>
      </w:r>
    </w:p>
    <w:p w:rsidR="003F084A" w:rsidRDefault="003F084A" w:rsidP="003F084A">
      <w:pPr>
        <w:pStyle w:val="PargrafodaLista"/>
        <w:numPr>
          <w:ilvl w:val="0"/>
          <w:numId w:val="2"/>
        </w:numPr>
      </w:pPr>
      <w:r>
        <w:t xml:space="preserve"> A sociedade produziu mundos virtuais – religiosos, escritos, internet – e mundos tecnológicos – para a caça, agricultura e guerra, por exemplo </w:t>
      </w:r>
      <w:r w:rsidR="00E06E5D">
        <w:t>–</w:t>
      </w:r>
      <w:r>
        <w:t xml:space="preserve"> </w:t>
      </w:r>
      <w:r w:rsidR="00E06E5D">
        <w:t>que se tornam autónomos da própria sociedade;</w:t>
      </w:r>
    </w:p>
    <w:p w:rsidR="00E06E5D" w:rsidRDefault="00E06E5D" w:rsidP="003F084A">
      <w:pPr>
        <w:pStyle w:val="PargrafodaLista"/>
        <w:numPr>
          <w:ilvl w:val="0"/>
          <w:numId w:val="2"/>
        </w:numPr>
      </w:pPr>
      <w:r>
        <w:t>A sociologia desenvolveu-se num quadro de divisão de trabalho científico (ou pré-científico, como são as ciências sociais) que abstraiu da existência intensamente misturada entre a sociedade “pura” e as tecnologias (</w:t>
      </w:r>
      <w:proofErr w:type="spellStart"/>
      <w:r>
        <w:t>Latour</w:t>
      </w:r>
      <w:proofErr w:type="spellEnd"/>
      <w:r>
        <w:t>), a violência (</w:t>
      </w:r>
      <w:proofErr w:type="spellStart"/>
      <w:r>
        <w:t>Giddens</w:t>
      </w:r>
      <w:proofErr w:type="spellEnd"/>
      <w:r>
        <w:t xml:space="preserve">, </w:t>
      </w:r>
      <w:proofErr w:type="spellStart"/>
      <w:r>
        <w:t>Wiewiorka</w:t>
      </w:r>
      <w:proofErr w:type="spellEnd"/>
      <w:r>
        <w:t>), a guerra e o crime, abandonados às relações internacionais e à criminologia, e as intenções, estigmatizadas através da síndrome intelectual de “teoria da conspiração” e da repugnância ao direito e à teologia;</w:t>
      </w:r>
    </w:p>
    <w:p w:rsidR="00E06E5D" w:rsidRDefault="00E06E5D" w:rsidP="003F084A">
      <w:pPr>
        <w:pStyle w:val="PargrafodaLista"/>
        <w:numPr>
          <w:ilvl w:val="0"/>
          <w:numId w:val="2"/>
        </w:numPr>
      </w:pPr>
      <w:r>
        <w:t>Portanto: as desigualdades humanas são produzidas socialmente, são parte do sistema de sobrevivência da humanidade, cujas consequências actuais são de crescente desigualdade (incluindo mortes e fome evitáveis produzidas politicamente a nível nacional e a nível internacional). E, na modernidade, só foram de igualização num curto período no pós-guerra, na Europa destruída (</w:t>
      </w:r>
      <w:proofErr w:type="spellStart"/>
      <w:r>
        <w:t>Therborn</w:t>
      </w:r>
      <w:proofErr w:type="spellEnd"/>
      <w:r>
        <w:t xml:space="preserve">). </w:t>
      </w:r>
    </w:p>
    <w:p w:rsidR="00E06E5D" w:rsidRDefault="00E06E5D" w:rsidP="00E06E5D">
      <w:pPr>
        <w:pStyle w:val="PargrafodaLista"/>
        <w:numPr>
          <w:ilvl w:val="0"/>
          <w:numId w:val="1"/>
        </w:numPr>
      </w:pPr>
      <w:r>
        <w:t>Obscuridade da análise dimensional em ciências sociais e sobretudo na teoria social</w:t>
      </w:r>
    </w:p>
    <w:p w:rsidR="00E06E5D" w:rsidRDefault="00E06E5D" w:rsidP="00E06E5D">
      <w:pPr>
        <w:pStyle w:val="PargrafodaLista"/>
        <w:numPr>
          <w:ilvl w:val="0"/>
          <w:numId w:val="3"/>
        </w:numPr>
      </w:pPr>
      <w:r>
        <w:t>Dimensões de análise dominante explicam como globalização é um fenómeno natural da economia a que as sociedades se terão de adaptar;</w:t>
      </w:r>
    </w:p>
    <w:p w:rsidR="00E06E5D" w:rsidRDefault="00E06E5D" w:rsidP="00E06E5D">
      <w:pPr>
        <w:pStyle w:val="PargrafodaLista"/>
        <w:numPr>
          <w:ilvl w:val="0"/>
          <w:numId w:val="3"/>
        </w:numPr>
      </w:pPr>
      <w:r>
        <w:lastRenderedPageBreak/>
        <w:t xml:space="preserve">Isso ocorre num quadro de privilégio excessivo da teoria social na análise de “recursos”, ignorando </w:t>
      </w:r>
      <w:r w:rsidR="00B26B45">
        <w:t>as dimensões “vitais” e “existenciais” (</w:t>
      </w:r>
      <w:proofErr w:type="spellStart"/>
      <w:r w:rsidR="00B26B45">
        <w:t>Therborn</w:t>
      </w:r>
      <w:proofErr w:type="spellEnd"/>
      <w:r w:rsidR="00B26B45">
        <w:t>). Isto é, privilegiando uma ponte com a economia e estigmatizando as pontes com a biologia e com a procura moral do sentido da vida (direito, teologia e ciências normativas em geral);</w:t>
      </w:r>
      <w:r>
        <w:t xml:space="preserve"> </w:t>
      </w:r>
    </w:p>
    <w:p w:rsidR="00B26B45" w:rsidRDefault="00B26B45" w:rsidP="00E06E5D">
      <w:pPr>
        <w:pStyle w:val="PargrafodaLista"/>
        <w:numPr>
          <w:ilvl w:val="0"/>
          <w:numId w:val="3"/>
        </w:numPr>
      </w:pPr>
      <w:proofErr w:type="spellStart"/>
      <w:r>
        <w:t>Giddens</w:t>
      </w:r>
      <w:proofErr w:type="spellEnd"/>
      <w:r>
        <w:t xml:space="preserve"> (1985) propor “actualizar” as dimensões de análise social (capitalismo, industrialismo, guerra e controlo social) sem consequências. </w:t>
      </w:r>
    </w:p>
    <w:p w:rsidR="00B26B45" w:rsidRDefault="00B26B45" w:rsidP="00E06E5D">
      <w:pPr>
        <w:pStyle w:val="PargrafodaLista"/>
        <w:numPr>
          <w:ilvl w:val="0"/>
          <w:numId w:val="3"/>
        </w:numPr>
      </w:pPr>
      <w:r>
        <w:t>A actualização da teoria social passa por actos de vontade e independência face à narrativa dominante: nomeadamente construindo uma teoria social não economicista, aberta à biologia (dimensão “vitalidade” ou “afiliações”) e à normatividade (dimensão “existencial” ou “desenvolvimento”), com um poder de impacto na terceira dimensão (dimensão “recursos” ou “poder”) a considerar em cada análise concreta, que nunca poderá ser a simples não referência alegando delimitação do objecto de estudo.</w:t>
      </w:r>
    </w:p>
    <w:p w:rsidR="00E06E5D" w:rsidRDefault="00E06E5D" w:rsidP="00E06E5D">
      <w:pPr>
        <w:ind w:left="720"/>
      </w:pPr>
    </w:p>
    <w:p w:rsidR="003F084A" w:rsidRDefault="003F084A"/>
    <w:sectPr w:rsidR="003F084A" w:rsidSect="007B5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5A5"/>
    <w:multiLevelType w:val="hybridMultilevel"/>
    <w:tmpl w:val="F57AFB1E"/>
    <w:lvl w:ilvl="0" w:tplc="6F744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A6976"/>
    <w:multiLevelType w:val="hybridMultilevel"/>
    <w:tmpl w:val="131C9C92"/>
    <w:lvl w:ilvl="0" w:tplc="3ADC8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10E97"/>
    <w:multiLevelType w:val="hybridMultilevel"/>
    <w:tmpl w:val="E5AA30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84A"/>
    <w:rsid w:val="003147EB"/>
    <w:rsid w:val="003E59A7"/>
    <w:rsid w:val="003F084A"/>
    <w:rsid w:val="007B5AD6"/>
    <w:rsid w:val="007F3DA9"/>
    <w:rsid w:val="00B26B45"/>
    <w:rsid w:val="00C44F4E"/>
    <w:rsid w:val="00E0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D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apad</cp:lastModifiedBy>
  <cp:revision>3</cp:revision>
  <dcterms:created xsi:type="dcterms:W3CDTF">2013-09-17T08:58:00Z</dcterms:created>
  <dcterms:modified xsi:type="dcterms:W3CDTF">2013-09-17T09:02:00Z</dcterms:modified>
</cp:coreProperties>
</file>